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ECF" w:rsidRDefault="00D61ECF" w:rsidP="00D61ECF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Des trésors archéologiques</w:t>
      </w:r>
    </w:p>
    <w:p w:rsidR="00DD34B6" w:rsidRPr="00D61ECF" w:rsidRDefault="00DD34B6" w:rsidP="00DD34B6">
      <w:pPr>
        <w:spacing w:after="120"/>
        <w:jc w:val="center"/>
        <w:rPr>
          <w:rFonts w:ascii="Arial" w:hAnsi="Arial" w:cs="Arial"/>
          <w:bCs/>
          <w:sz w:val="28"/>
        </w:rPr>
      </w:pPr>
      <w:r w:rsidRPr="00D61ECF">
        <w:rPr>
          <w:rFonts w:ascii="Arial" w:hAnsi="Arial" w:cs="Arial"/>
          <w:bCs/>
          <w:sz w:val="28"/>
        </w:rPr>
        <w:t>Fluence CM</w:t>
      </w:r>
      <w:r w:rsidR="00D61ECF">
        <w:rPr>
          <w:rFonts w:ascii="Arial" w:hAnsi="Arial" w:cs="Arial"/>
          <w:bCs/>
          <w:sz w:val="28"/>
        </w:rPr>
        <w:t>/</w:t>
      </w:r>
      <w:r w:rsidRPr="00D61ECF">
        <w:rPr>
          <w:rFonts w:ascii="Arial" w:hAnsi="Arial" w:cs="Arial"/>
          <w:bCs/>
          <w:sz w:val="28"/>
        </w:rPr>
        <w:t>6°/5°</w:t>
      </w:r>
      <w:r w:rsidR="00D61ECF">
        <w:rPr>
          <w:rFonts w:ascii="Arial" w:hAnsi="Arial" w:cs="Arial"/>
          <w:bCs/>
          <w:sz w:val="28"/>
        </w:rPr>
        <w:t xml:space="preserve"> - Texte 08 - 211 mots</w:t>
      </w:r>
    </w:p>
    <w:p w:rsidR="006E632E" w:rsidRPr="00391DF5" w:rsidRDefault="006E632E" w:rsidP="006E632E">
      <w:pPr>
        <w:jc w:val="center"/>
        <w:rPr>
          <w:rFonts w:ascii="Arial" w:hAnsi="Arial" w:cs="Arial"/>
          <w:b/>
          <w:sz w:val="20"/>
          <w:u w:val="single"/>
        </w:rPr>
      </w:pPr>
    </w:p>
    <w:tbl>
      <w:tblPr>
        <w:tblStyle w:val="Grilledutableau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5526"/>
        <w:gridCol w:w="288"/>
        <w:gridCol w:w="5526"/>
      </w:tblGrid>
      <w:tr w:rsidR="0009386C" w:rsidRPr="006E632E" w:rsidTr="0009386C">
        <w:trPr>
          <w:trHeight w:val="5507"/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09386C" w:rsidRPr="006E632E" w:rsidRDefault="00C51BDE" w:rsidP="00D61ECF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Archéologie</w:t>
            </w:r>
            <w:r w:rsidR="0009386C" w:rsidRPr="00D61ECF">
              <w:rPr>
                <w:rFonts w:ascii="Arial" w:hAnsi="Arial" w:cs="Arial"/>
                <w:b/>
                <w:i/>
                <w:sz w:val="28"/>
              </w:rPr>
              <w:t xml:space="preserve"> </w:t>
            </w:r>
            <w:r w:rsidR="0009386C" w:rsidRPr="00D61ECF">
              <w:rPr>
                <w:rFonts w:ascii="Arial" w:hAnsi="Arial" w:cs="Arial"/>
                <w:b/>
                <w:sz w:val="28"/>
              </w:rPr>
              <w:t>:</w:t>
            </w:r>
          </w:p>
          <w:p w:rsidR="0009386C" w:rsidRDefault="002A3662" w:rsidP="006E632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8"/>
              </w:rPr>
              <w:t>Science</w:t>
            </w:r>
            <w:r w:rsidR="00C51BDE">
              <w:rPr>
                <w:rFonts w:ascii="Arial" w:hAnsi="Arial" w:cs="Arial"/>
                <w:sz w:val="28"/>
              </w:rPr>
              <w:t xml:space="preserve"> dont le but est de mieux connaître les civilisations disparues grâce à l’étude de leurs vestiges (partie ou reste d’objets que l’on retrouve malgré les dégâts du temps ou les destructions humaines).</w:t>
            </w:r>
          </w:p>
          <w:p w:rsidR="0009386C" w:rsidRPr="00D61ECF" w:rsidRDefault="0009386C" w:rsidP="00D61ECF">
            <w:pPr>
              <w:rPr>
                <w:rFonts w:ascii="Arial" w:hAnsi="Arial" w:cs="Arial"/>
                <w:sz w:val="12"/>
                <w:szCs w:val="18"/>
              </w:rPr>
            </w:pPr>
          </w:p>
          <w:p w:rsidR="0009386C" w:rsidRPr="00B33E02" w:rsidRDefault="00C51BDE" w:rsidP="00D61ECF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Fouilles archéologiques</w:t>
            </w:r>
            <w:r w:rsidR="0009386C" w:rsidRPr="00D61ECF">
              <w:rPr>
                <w:rFonts w:ascii="Arial" w:hAnsi="Arial" w:cs="Arial"/>
                <w:b/>
                <w:sz w:val="28"/>
              </w:rPr>
              <w:t> :</w:t>
            </w:r>
          </w:p>
          <w:p w:rsidR="0009386C" w:rsidRDefault="00C51BDE" w:rsidP="006E632E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</w:t>
            </w:r>
            <w:r w:rsidRPr="00C51BDE">
              <w:rPr>
                <w:rFonts w:ascii="Arial" w:hAnsi="Arial" w:cs="Arial"/>
                <w:sz w:val="28"/>
              </w:rPr>
              <w:t xml:space="preserve">cte de rechercher des vestiges enfouis, qu'il s'agisse de constructions, d’objets ou de traces de l’activité humaine passée, et de </w:t>
            </w:r>
            <w:r w:rsidR="002A3662">
              <w:rPr>
                <w:rFonts w:ascii="Arial" w:hAnsi="Arial" w:cs="Arial"/>
                <w:sz w:val="28"/>
              </w:rPr>
              <w:t>les mettre</w:t>
            </w:r>
            <w:r w:rsidRPr="00C51BDE">
              <w:rPr>
                <w:rFonts w:ascii="Arial" w:hAnsi="Arial" w:cs="Arial"/>
                <w:sz w:val="28"/>
              </w:rPr>
              <w:t xml:space="preserve"> au jo</w:t>
            </w:r>
            <w:r>
              <w:rPr>
                <w:rFonts w:ascii="Arial" w:hAnsi="Arial" w:cs="Arial"/>
                <w:sz w:val="28"/>
              </w:rPr>
              <w:t xml:space="preserve">ur par enlèvement des matériaux </w:t>
            </w:r>
            <w:r w:rsidRPr="00C51BDE">
              <w:rPr>
                <w:rFonts w:ascii="Arial" w:hAnsi="Arial" w:cs="Arial"/>
                <w:sz w:val="28"/>
              </w:rPr>
              <w:t>qui les recouvrent.</w:t>
            </w:r>
          </w:p>
          <w:p w:rsidR="0009386C" w:rsidRPr="00D61ECF" w:rsidRDefault="0009386C" w:rsidP="006E632E">
            <w:pPr>
              <w:jc w:val="both"/>
              <w:rPr>
                <w:rFonts w:ascii="Arial" w:hAnsi="Arial" w:cs="Arial"/>
                <w:sz w:val="12"/>
                <w:szCs w:val="14"/>
              </w:rPr>
            </w:pPr>
          </w:p>
          <w:p w:rsidR="0009386C" w:rsidRPr="00B33E02" w:rsidRDefault="00C51BDE" w:rsidP="00D61ECF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Indiana Jones</w:t>
            </w:r>
            <w:r w:rsidR="00D61ECF" w:rsidRPr="00D61ECF">
              <w:rPr>
                <w:rFonts w:ascii="Arial" w:hAnsi="Arial" w:cs="Arial"/>
                <w:b/>
                <w:sz w:val="28"/>
              </w:rPr>
              <w:t xml:space="preserve"> </w:t>
            </w:r>
            <w:r w:rsidR="0009386C" w:rsidRPr="00D61ECF">
              <w:rPr>
                <w:rFonts w:ascii="Arial" w:hAnsi="Arial" w:cs="Arial"/>
                <w:b/>
                <w:sz w:val="28"/>
              </w:rPr>
              <w:t>:</w:t>
            </w:r>
          </w:p>
          <w:p w:rsidR="0009386C" w:rsidRDefault="00C51BDE" w:rsidP="00C51BDE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Célèbre p</w:t>
            </w:r>
            <w:r w:rsidRPr="00C51BDE">
              <w:rPr>
                <w:rFonts w:ascii="Arial" w:hAnsi="Arial" w:cs="Arial"/>
                <w:sz w:val="28"/>
              </w:rPr>
              <w:t>ersonnage de film</w:t>
            </w:r>
            <w:r>
              <w:rPr>
                <w:rFonts w:ascii="Arial" w:hAnsi="Arial" w:cs="Arial"/>
                <w:sz w:val="28"/>
              </w:rPr>
              <w:t>, aventurier et professeur d’archéologie.</w:t>
            </w:r>
          </w:p>
          <w:p w:rsidR="00C51BDE" w:rsidRPr="00D61ECF" w:rsidRDefault="00C51BDE" w:rsidP="00C51BDE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09386C" w:rsidRPr="00B33E02" w:rsidRDefault="00C51BDE" w:rsidP="00D61ECF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Cléopâtre</w:t>
            </w:r>
            <w:r w:rsidR="0009386C" w:rsidRPr="00D61ECF">
              <w:rPr>
                <w:rFonts w:ascii="Arial" w:hAnsi="Arial" w:cs="Arial"/>
                <w:b/>
                <w:sz w:val="28"/>
              </w:rPr>
              <w:t> :</w:t>
            </w:r>
          </w:p>
          <w:p w:rsidR="0009386C" w:rsidRDefault="00C51BDE" w:rsidP="006E632E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Reine d’Egypte antique.</w:t>
            </w:r>
          </w:p>
          <w:p w:rsidR="00C51BDE" w:rsidRPr="00D61ECF" w:rsidRDefault="00C51BDE" w:rsidP="006E632E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C51BDE" w:rsidRPr="00BF4E7C" w:rsidRDefault="00C51BDE" w:rsidP="00D61ECF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BF4E7C">
              <w:rPr>
                <w:rFonts w:ascii="Arial" w:hAnsi="Arial" w:cs="Arial"/>
                <w:b/>
                <w:sz w:val="28"/>
                <w:u w:val="single"/>
              </w:rPr>
              <w:t>Egypte</w:t>
            </w:r>
            <w:r w:rsidRPr="00D61ECF">
              <w:rPr>
                <w:rFonts w:ascii="Arial" w:hAnsi="Arial" w:cs="Arial"/>
                <w:b/>
                <w:sz w:val="28"/>
              </w:rPr>
              <w:t> :</w:t>
            </w:r>
          </w:p>
          <w:p w:rsidR="00BF4E7C" w:rsidRPr="00BF4E7C" w:rsidRDefault="00BF4E7C" w:rsidP="00D61ECF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8"/>
              </w:rPr>
              <w:t xml:space="preserve">Pays d’Afrique du Nord situé sur la côte sud de la </w:t>
            </w:r>
            <w:r w:rsidR="002A3662">
              <w:rPr>
                <w:rFonts w:ascii="Arial" w:hAnsi="Arial" w:cs="Arial"/>
                <w:sz w:val="28"/>
              </w:rPr>
              <w:t>M</w:t>
            </w:r>
            <w:r>
              <w:rPr>
                <w:rFonts w:ascii="Arial" w:hAnsi="Arial" w:cs="Arial"/>
                <w:sz w:val="28"/>
              </w:rPr>
              <w:t>éditerranée orientale.</w:t>
            </w:r>
          </w:p>
          <w:p w:rsidR="0009386C" w:rsidRPr="006E632E" w:rsidRDefault="00BF4E7C" w:rsidP="00D61ECF">
            <w:pPr>
              <w:spacing w:after="120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947035" cy="2600325"/>
                  <wp:effectExtent l="19050" t="19050" r="24765" b="28575"/>
                  <wp:docPr id="13" name="Image 13" descr="http://img4.wikia.nocookie.net/__cb20131004195225/nickcutter/fr/images/9/96/Carte_Pays_Egyp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g4.wikia.nocookie.net/__cb20131004195225/nickcutter/fr/images/9/96/Carte_Pays_Egyp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7035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:rsidR="0009386C" w:rsidRPr="003E7CF1" w:rsidRDefault="0009386C" w:rsidP="00FF33E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9386C" w:rsidRPr="00D61ECF" w:rsidRDefault="00BF4E7C" w:rsidP="00D61ECF">
            <w:pPr>
              <w:spacing w:before="120" w:after="12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Sarcophage</w:t>
            </w:r>
            <w:r w:rsidR="0009386C" w:rsidRPr="00D61ECF">
              <w:rPr>
                <w:rFonts w:ascii="Arial" w:hAnsi="Arial" w:cs="Arial"/>
                <w:b/>
                <w:i/>
                <w:sz w:val="28"/>
              </w:rPr>
              <w:t xml:space="preserve"> </w:t>
            </w:r>
            <w:r w:rsidR="0009386C" w:rsidRPr="00D61ECF">
              <w:rPr>
                <w:rFonts w:ascii="Arial" w:hAnsi="Arial" w:cs="Arial"/>
                <w:b/>
                <w:sz w:val="28"/>
              </w:rPr>
              <w:t>:</w:t>
            </w:r>
          </w:p>
          <w:p w:rsidR="0009386C" w:rsidRPr="002A3662" w:rsidRDefault="00BF4E7C" w:rsidP="00D61ECF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8"/>
              </w:rPr>
              <w:t>Cercueil de pierre ou de bois ayant une forme humaine et dans lequel les égyptiens plaçaient leurs morts.</w:t>
            </w:r>
          </w:p>
          <w:p w:rsidR="0009386C" w:rsidRDefault="00BF4E7C" w:rsidP="00D61ECF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328057" cy="1515717"/>
                  <wp:effectExtent l="0" t="0" r="5715" b="8890"/>
                  <wp:docPr id="14" name="Image 14" descr="http://www.netfertiti.fr/106-thickbox_default/sarcophage-toutankhamon-et-sa-mom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netfertiti.fr/106-thickbox_default/sarcophage-toutankhamon-et-sa-mom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249" cy="1517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ECF" w:rsidRPr="00D61ECF" w:rsidRDefault="00D61ECF" w:rsidP="00D61ECF">
            <w:pPr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:rsidR="0009386C" w:rsidRPr="00B33E02" w:rsidRDefault="00BF4E7C" w:rsidP="00D61ECF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Osiris</w:t>
            </w:r>
            <w:r w:rsidR="0009386C" w:rsidRPr="00D61ECF">
              <w:rPr>
                <w:rFonts w:ascii="Arial" w:hAnsi="Arial" w:cs="Arial"/>
                <w:b/>
                <w:sz w:val="28"/>
              </w:rPr>
              <w:t> :</w:t>
            </w:r>
          </w:p>
          <w:p w:rsidR="00BF4E7C" w:rsidRPr="002A3662" w:rsidRDefault="00BF4E7C" w:rsidP="00D61ECF">
            <w:pPr>
              <w:spacing w:after="12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8"/>
              </w:rPr>
              <w:t>Dieu de l’Egypte antique</w:t>
            </w:r>
            <w:r w:rsidR="0009386C">
              <w:rPr>
                <w:rFonts w:ascii="Arial" w:hAnsi="Arial" w:cs="Arial"/>
                <w:sz w:val="28"/>
              </w:rPr>
              <w:t>.</w:t>
            </w:r>
          </w:p>
          <w:p w:rsidR="0009386C" w:rsidRDefault="00BF4E7C" w:rsidP="00D61ECF">
            <w:pPr>
              <w:rPr>
                <w:rFonts w:ascii="Arial" w:hAnsi="Arial" w:cs="Arial"/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095375" cy="1679041"/>
                  <wp:effectExtent l="0" t="0" r="0" b="0"/>
                  <wp:docPr id="15" name="Image 15" descr="http://www.think-aboutit.com/wp-content/uploads/2013/10/osiris-god-of-the-underworl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think-aboutit.com/wp-content/uploads/2013/10/osiris-god-of-the-underworl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944" cy="1686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2707" w:rsidRPr="00D61ECF" w:rsidRDefault="00382707" w:rsidP="00D61ECF">
            <w:pPr>
              <w:rPr>
                <w:rFonts w:ascii="Arial" w:hAnsi="Arial" w:cs="Arial"/>
                <w:sz w:val="12"/>
                <w:szCs w:val="14"/>
              </w:rPr>
            </w:pPr>
          </w:p>
          <w:p w:rsidR="0009386C" w:rsidRPr="00B33E02" w:rsidRDefault="00382707" w:rsidP="00D61ECF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Rehaussé</w:t>
            </w:r>
            <w:r w:rsidR="00D61ECF" w:rsidRPr="00D61ECF">
              <w:rPr>
                <w:rFonts w:ascii="Arial" w:hAnsi="Arial" w:cs="Arial"/>
                <w:b/>
                <w:sz w:val="28"/>
              </w:rPr>
              <w:t xml:space="preserve"> </w:t>
            </w:r>
            <w:r w:rsidR="0009386C" w:rsidRPr="00D61ECF">
              <w:rPr>
                <w:rFonts w:ascii="Arial" w:hAnsi="Arial" w:cs="Arial"/>
                <w:b/>
                <w:sz w:val="28"/>
              </w:rPr>
              <w:t>:</w:t>
            </w:r>
          </w:p>
          <w:p w:rsidR="0009386C" w:rsidRPr="00382707" w:rsidRDefault="002A3662" w:rsidP="00FF33ED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Accentué</w:t>
            </w:r>
            <w:r w:rsidR="00382707" w:rsidRPr="00382707">
              <w:rPr>
                <w:rFonts w:ascii="Arial" w:hAnsi="Arial" w:cs="Arial"/>
                <w:sz w:val="28"/>
              </w:rPr>
              <w:t xml:space="preserve"> par un ajout de couleur (ici la couleur or)</w:t>
            </w:r>
            <w:r w:rsidR="00382707">
              <w:rPr>
                <w:rFonts w:ascii="Arial" w:hAnsi="Arial" w:cs="Arial"/>
                <w:sz w:val="28"/>
              </w:rPr>
              <w:t>.</w:t>
            </w:r>
          </w:p>
          <w:p w:rsidR="0009386C" w:rsidRPr="00D61ECF" w:rsidRDefault="0009386C" w:rsidP="00382707">
            <w:pPr>
              <w:rPr>
                <w:rFonts w:ascii="Arial" w:hAnsi="Arial" w:cs="Arial"/>
                <w:sz w:val="12"/>
                <w:szCs w:val="16"/>
              </w:rPr>
            </w:pPr>
          </w:p>
          <w:p w:rsidR="0009386C" w:rsidRPr="00B33E02" w:rsidRDefault="00382707" w:rsidP="00D61ECF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César</w:t>
            </w:r>
            <w:r w:rsidR="0009386C" w:rsidRPr="00D61ECF">
              <w:rPr>
                <w:rFonts w:ascii="Arial" w:hAnsi="Arial" w:cs="Arial"/>
                <w:b/>
                <w:sz w:val="28"/>
              </w:rPr>
              <w:t> :</w:t>
            </w:r>
          </w:p>
          <w:p w:rsidR="0009386C" w:rsidRDefault="00382707" w:rsidP="00FF33ED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Général romain très célèbre pour sa conquête de la Gaule au 1</w:t>
            </w:r>
            <w:r w:rsidRPr="00382707">
              <w:rPr>
                <w:rFonts w:ascii="Arial" w:hAnsi="Arial" w:cs="Arial"/>
                <w:sz w:val="28"/>
                <w:vertAlign w:val="superscript"/>
              </w:rPr>
              <w:t>er</w:t>
            </w:r>
            <w:r>
              <w:rPr>
                <w:rFonts w:ascii="Arial" w:hAnsi="Arial" w:cs="Arial"/>
                <w:sz w:val="28"/>
              </w:rPr>
              <w:t xml:space="preserve"> siècle avant Jésus-Christ</w:t>
            </w:r>
            <w:r w:rsidR="0009386C">
              <w:rPr>
                <w:rFonts w:ascii="Arial" w:hAnsi="Arial" w:cs="Arial"/>
                <w:sz w:val="28"/>
              </w:rPr>
              <w:t>.</w:t>
            </w:r>
          </w:p>
          <w:p w:rsidR="00382707" w:rsidRPr="00D61ECF" w:rsidRDefault="00382707" w:rsidP="00FF33ED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382707" w:rsidRPr="00382707" w:rsidRDefault="00382707" w:rsidP="00D61ECF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382707">
              <w:rPr>
                <w:rFonts w:ascii="Arial" w:hAnsi="Arial" w:cs="Arial"/>
                <w:b/>
                <w:sz w:val="28"/>
                <w:u w:val="single"/>
              </w:rPr>
              <w:t>Le Rhône</w:t>
            </w:r>
            <w:r w:rsidRPr="00D61ECF">
              <w:rPr>
                <w:rFonts w:ascii="Arial" w:hAnsi="Arial" w:cs="Arial"/>
                <w:b/>
                <w:sz w:val="28"/>
              </w:rPr>
              <w:t> :</w:t>
            </w:r>
          </w:p>
          <w:p w:rsidR="0009386C" w:rsidRDefault="00382707" w:rsidP="00382707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Fleuve français.</w:t>
            </w:r>
          </w:p>
          <w:p w:rsidR="00382707" w:rsidRPr="00D61ECF" w:rsidRDefault="00382707" w:rsidP="00382707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382707" w:rsidRPr="00382707" w:rsidRDefault="00382707" w:rsidP="00D61ECF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382707">
              <w:rPr>
                <w:rFonts w:ascii="Arial" w:hAnsi="Arial" w:cs="Arial"/>
                <w:b/>
                <w:sz w:val="28"/>
                <w:u w:val="single"/>
              </w:rPr>
              <w:t>Arles</w:t>
            </w:r>
            <w:r w:rsidRPr="00D61ECF">
              <w:rPr>
                <w:rFonts w:ascii="Arial" w:hAnsi="Arial" w:cs="Arial"/>
                <w:b/>
                <w:sz w:val="28"/>
              </w:rPr>
              <w:t> :</w:t>
            </w:r>
          </w:p>
          <w:p w:rsidR="00382707" w:rsidRDefault="00382707" w:rsidP="00382707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Ville du sud de la France située au bord du Rhône.</w:t>
            </w:r>
          </w:p>
          <w:p w:rsidR="002A3662" w:rsidRPr="00D61ECF" w:rsidRDefault="002A3662" w:rsidP="00382707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382707" w:rsidRPr="002A3662" w:rsidRDefault="002A3662" w:rsidP="00D61ECF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Grotte</w:t>
            </w:r>
            <w:r w:rsidR="00382707" w:rsidRPr="002A3662">
              <w:rPr>
                <w:rFonts w:ascii="Arial" w:hAnsi="Arial" w:cs="Arial"/>
                <w:b/>
                <w:sz w:val="28"/>
                <w:u w:val="single"/>
              </w:rPr>
              <w:t xml:space="preserve"> de Lascaux</w:t>
            </w:r>
            <w:r w:rsidR="00382707" w:rsidRPr="00D61ECF">
              <w:rPr>
                <w:rFonts w:ascii="Arial" w:hAnsi="Arial" w:cs="Arial"/>
                <w:b/>
                <w:sz w:val="28"/>
              </w:rPr>
              <w:t> :</w:t>
            </w:r>
          </w:p>
          <w:p w:rsidR="00382707" w:rsidRPr="006E632E" w:rsidRDefault="00382707" w:rsidP="00D61ECF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Célèbre grotte</w:t>
            </w:r>
            <w:r w:rsidR="002A3662">
              <w:rPr>
                <w:rFonts w:ascii="Arial" w:hAnsi="Arial" w:cs="Arial"/>
                <w:sz w:val="28"/>
              </w:rPr>
              <w:t>,</w:t>
            </w:r>
            <w:r>
              <w:rPr>
                <w:rFonts w:ascii="Arial" w:hAnsi="Arial" w:cs="Arial"/>
                <w:sz w:val="28"/>
              </w:rPr>
              <w:t xml:space="preserve"> vieille de 17 000 ans</w:t>
            </w:r>
            <w:r w:rsidR="002A3662">
              <w:rPr>
                <w:rFonts w:ascii="Arial" w:hAnsi="Arial" w:cs="Arial"/>
                <w:sz w:val="28"/>
              </w:rPr>
              <w:t>,</w:t>
            </w:r>
            <w:r>
              <w:rPr>
                <w:rFonts w:ascii="Arial" w:hAnsi="Arial" w:cs="Arial"/>
                <w:sz w:val="28"/>
              </w:rPr>
              <w:t xml:space="preserve"> ornée de peintures préhistoriques.</w:t>
            </w:r>
          </w:p>
        </w:tc>
      </w:tr>
    </w:tbl>
    <w:p w:rsidR="006E632E" w:rsidRPr="00D61ECF" w:rsidRDefault="006E632E">
      <w:pPr>
        <w:rPr>
          <w:rFonts w:ascii="Arial" w:hAnsi="Arial" w:cs="Arial"/>
          <w:sz w:val="2"/>
          <w:szCs w:val="2"/>
        </w:rPr>
      </w:pPr>
    </w:p>
    <w:sectPr w:rsidR="006E632E" w:rsidRPr="00D61ECF" w:rsidSect="00D61EC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67"/>
    <w:rsid w:val="0009386C"/>
    <w:rsid w:val="000A11B0"/>
    <w:rsid w:val="000E5E16"/>
    <w:rsid w:val="0014391C"/>
    <w:rsid w:val="0024663F"/>
    <w:rsid w:val="00250F93"/>
    <w:rsid w:val="002A3662"/>
    <w:rsid w:val="002C4483"/>
    <w:rsid w:val="0032371C"/>
    <w:rsid w:val="00374A0C"/>
    <w:rsid w:val="00382707"/>
    <w:rsid w:val="00391DF5"/>
    <w:rsid w:val="003E7CF1"/>
    <w:rsid w:val="004A2BEE"/>
    <w:rsid w:val="00531C74"/>
    <w:rsid w:val="006722E5"/>
    <w:rsid w:val="006E632E"/>
    <w:rsid w:val="00780AF7"/>
    <w:rsid w:val="008155BA"/>
    <w:rsid w:val="00827519"/>
    <w:rsid w:val="008D14FC"/>
    <w:rsid w:val="008D24F4"/>
    <w:rsid w:val="008D7383"/>
    <w:rsid w:val="008E2C46"/>
    <w:rsid w:val="008F3E0D"/>
    <w:rsid w:val="008F666B"/>
    <w:rsid w:val="00AC6A41"/>
    <w:rsid w:val="00AD5C95"/>
    <w:rsid w:val="00B33E02"/>
    <w:rsid w:val="00B52ECC"/>
    <w:rsid w:val="00BB1CE8"/>
    <w:rsid w:val="00BC0020"/>
    <w:rsid w:val="00BF4E7C"/>
    <w:rsid w:val="00C51BDE"/>
    <w:rsid w:val="00C81614"/>
    <w:rsid w:val="00CA1B67"/>
    <w:rsid w:val="00D61ECF"/>
    <w:rsid w:val="00DD34B6"/>
    <w:rsid w:val="00E6082C"/>
    <w:rsid w:val="00EA2977"/>
    <w:rsid w:val="00ED2661"/>
    <w:rsid w:val="00ED6B1F"/>
    <w:rsid w:val="00F00AFE"/>
    <w:rsid w:val="00FD778A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F88B"/>
  <w15:docId w15:val="{C84CBD43-F0A5-4055-A550-0FAD6664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123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4</cp:revision>
  <dcterms:created xsi:type="dcterms:W3CDTF">2015-11-23T18:32:00Z</dcterms:created>
  <dcterms:modified xsi:type="dcterms:W3CDTF">2023-01-17T10:06:00Z</dcterms:modified>
</cp:coreProperties>
</file>