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1" w:rsidRDefault="00F84FCD" w:rsidP="00F84FCD">
      <w:pPr>
        <w:pStyle w:val="Sansinterligne"/>
        <w:jc w:val="center"/>
        <w:rPr>
          <w:sz w:val="28"/>
          <w:szCs w:val="28"/>
        </w:rPr>
      </w:pPr>
      <w:r w:rsidRPr="00F84FCD">
        <w:rPr>
          <w:sz w:val="28"/>
          <w:szCs w:val="28"/>
        </w:rPr>
        <w:t>Leçon orthographe</w:t>
      </w:r>
      <w:r>
        <w:rPr>
          <w:sz w:val="28"/>
          <w:szCs w:val="28"/>
        </w:rPr>
        <w:t xml:space="preserve"> CE2 : </w:t>
      </w:r>
      <w:r w:rsidRPr="00F84FCD">
        <w:rPr>
          <w:sz w:val="28"/>
          <w:szCs w:val="28"/>
        </w:rPr>
        <w:t>L’accord de l’adjectif dans le groupe nominal</w:t>
      </w:r>
    </w:p>
    <w:p w:rsidR="00F84FCD" w:rsidRPr="00F84FCD" w:rsidRDefault="00F84FCD" w:rsidP="00F84FCD">
      <w:pPr>
        <w:pStyle w:val="Sansinterligne"/>
        <w:jc w:val="both"/>
        <w:rPr>
          <w:sz w:val="28"/>
          <w:szCs w:val="28"/>
        </w:rPr>
      </w:pPr>
    </w:p>
    <w:p w:rsidR="00F84FCD" w:rsidRDefault="00F84FCD" w:rsidP="00907CAF">
      <w:pPr>
        <w:pStyle w:val="Sansinterligne"/>
      </w:pPr>
      <w:r>
        <w:t xml:space="preserve">L’adjectif qualificatif apporte des précisions sur le nom. Ils font partie du même groupe que l’on appelle le groupe nominal. </w:t>
      </w:r>
    </w:p>
    <w:p w:rsidR="00F84FCD" w:rsidRDefault="00F84FCD" w:rsidP="00907CAF">
      <w:pPr>
        <w:pStyle w:val="Sansinterligne"/>
      </w:pPr>
      <w:r>
        <w:t xml:space="preserve">L’adjectif s’accorde avec le nom. Il dit qu’il s’accorde selon </w:t>
      </w:r>
      <w:r w:rsidRPr="00F84FCD">
        <w:rPr>
          <w:b/>
        </w:rPr>
        <w:t>le genre</w:t>
      </w:r>
      <w:r>
        <w:t xml:space="preserve"> (féminin ou masculin) ou </w:t>
      </w:r>
      <w:r w:rsidRPr="00F84FCD">
        <w:rPr>
          <w:b/>
        </w:rPr>
        <w:t>le nombre</w:t>
      </w:r>
      <w:r>
        <w:t xml:space="preserve"> (singulier ou pluriel). </w:t>
      </w:r>
    </w:p>
    <w:p w:rsidR="00F84FCD" w:rsidRDefault="00F84FCD" w:rsidP="00F84FCD">
      <w:r>
        <w:t xml:space="preserve"> Exemples : </w:t>
      </w:r>
    </w:p>
    <w:tbl>
      <w:tblPr>
        <w:tblStyle w:val="Grilledutableau"/>
        <w:tblW w:w="0" w:type="auto"/>
        <w:tblInd w:w="2053" w:type="dxa"/>
        <w:tblLook w:val="04A0"/>
      </w:tblPr>
      <w:tblGrid>
        <w:gridCol w:w="1384"/>
        <w:gridCol w:w="2835"/>
      </w:tblGrid>
      <w:tr w:rsidR="00F84FCD" w:rsidTr="003D5186">
        <w:tc>
          <w:tcPr>
            <w:tcW w:w="1384" w:type="dxa"/>
          </w:tcPr>
          <w:p w:rsidR="00F84FCD" w:rsidRDefault="00F84FCD" w:rsidP="00F84FCD">
            <w:r>
              <w:t>masculin</w:t>
            </w:r>
          </w:p>
        </w:tc>
        <w:tc>
          <w:tcPr>
            <w:tcW w:w="2835" w:type="dxa"/>
          </w:tcPr>
          <w:p w:rsidR="00F84FCD" w:rsidRDefault="00F84FCD" w:rsidP="00F84FCD">
            <w:r>
              <w:t>un livre amusant</w:t>
            </w:r>
          </w:p>
        </w:tc>
      </w:tr>
      <w:tr w:rsidR="00F84FCD" w:rsidTr="003D5186">
        <w:tc>
          <w:tcPr>
            <w:tcW w:w="1384" w:type="dxa"/>
          </w:tcPr>
          <w:p w:rsidR="00F84FCD" w:rsidRDefault="00F84FCD" w:rsidP="00F84FCD">
            <w:r>
              <w:t>féminin</w:t>
            </w:r>
          </w:p>
        </w:tc>
        <w:tc>
          <w:tcPr>
            <w:tcW w:w="2835" w:type="dxa"/>
          </w:tcPr>
          <w:p w:rsidR="00F84FCD" w:rsidRDefault="00F84FCD" w:rsidP="00F84FCD">
            <w:r>
              <w:t>une poésie amusant</w:t>
            </w:r>
            <w:r w:rsidRPr="00F84FCD">
              <w:rPr>
                <w:bdr w:val="single" w:sz="4" w:space="0" w:color="auto"/>
              </w:rPr>
              <w:t>e</w:t>
            </w:r>
            <w:r>
              <w:t xml:space="preserve"> </w:t>
            </w:r>
          </w:p>
        </w:tc>
      </w:tr>
      <w:tr w:rsidR="00F84FCD" w:rsidTr="003D5186">
        <w:tc>
          <w:tcPr>
            <w:tcW w:w="1384" w:type="dxa"/>
          </w:tcPr>
          <w:p w:rsidR="00F84FCD" w:rsidRDefault="00F84FCD" w:rsidP="00F84FCD">
            <w:r>
              <w:t>singulier</w:t>
            </w:r>
          </w:p>
        </w:tc>
        <w:tc>
          <w:tcPr>
            <w:tcW w:w="2835" w:type="dxa"/>
          </w:tcPr>
          <w:p w:rsidR="00F84FCD" w:rsidRDefault="00F84FCD" w:rsidP="00F84FCD">
            <w:r>
              <w:t xml:space="preserve">un livre amusant </w:t>
            </w:r>
          </w:p>
        </w:tc>
      </w:tr>
      <w:tr w:rsidR="00F84FCD" w:rsidTr="003D5186">
        <w:tc>
          <w:tcPr>
            <w:tcW w:w="1384" w:type="dxa"/>
          </w:tcPr>
          <w:p w:rsidR="00F84FCD" w:rsidRDefault="00F84FCD" w:rsidP="00F84FCD">
            <w:r>
              <w:t>pluriel</w:t>
            </w:r>
          </w:p>
        </w:tc>
        <w:tc>
          <w:tcPr>
            <w:tcW w:w="2835" w:type="dxa"/>
          </w:tcPr>
          <w:p w:rsidR="00F84FCD" w:rsidRDefault="00F84FCD" w:rsidP="00F84FCD">
            <w:r>
              <w:t>de</w:t>
            </w:r>
            <w:r w:rsidRPr="00F84FCD">
              <w:rPr>
                <w:bdr w:val="single" w:sz="4" w:space="0" w:color="auto"/>
              </w:rPr>
              <w:t>s</w:t>
            </w:r>
            <w:r>
              <w:t xml:space="preserve"> livre</w:t>
            </w:r>
            <w:r w:rsidRPr="00F84FCD">
              <w:rPr>
                <w:bdr w:val="single" w:sz="4" w:space="0" w:color="auto"/>
              </w:rPr>
              <w:t>s</w:t>
            </w:r>
            <w:r>
              <w:t xml:space="preserve"> amusant</w:t>
            </w:r>
            <w:r w:rsidRPr="00F84FCD">
              <w:rPr>
                <w:bdr w:val="single" w:sz="4" w:space="0" w:color="auto"/>
              </w:rPr>
              <w:t>s</w:t>
            </w:r>
          </w:p>
        </w:tc>
      </w:tr>
    </w:tbl>
    <w:p w:rsidR="00F84FCD" w:rsidRDefault="00F84FCD" w:rsidP="00F84FCD"/>
    <w:p w:rsidR="00F84FCD" w:rsidRDefault="00F84FCD" w:rsidP="00907CAF">
      <w:pPr>
        <w:pStyle w:val="Sansinterligne"/>
      </w:pPr>
      <w:r>
        <w:t xml:space="preserve">Parfois l’adjectif est différent au féminin ou au pluriel : </w:t>
      </w:r>
    </w:p>
    <w:p w:rsidR="00F84FCD" w:rsidRDefault="003D5186" w:rsidP="00907CAF">
      <w:pPr>
        <w:pStyle w:val="Sansinterligne"/>
      </w:pPr>
      <w:r>
        <w:t>Quelques e</w:t>
      </w:r>
      <w:r w:rsidR="00F84FCD">
        <w:t>xemple</w:t>
      </w:r>
      <w:r>
        <w:t>s</w:t>
      </w:r>
      <w:r w:rsidR="00F84FCD">
        <w:t xml:space="preserve"> : </w:t>
      </w:r>
    </w:p>
    <w:tbl>
      <w:tblPr>
        <w:tblStyle w:val="Grilledutableau"/>
        <w:tblW w:w="0" w:type="auto"/>
        <w:tblInd w:w="2755" w:type="dxa"/>
        <w:tblLook w:val="04A0"/>
      </w:tblPr>
      <w:tblGrid>
        <w:gridCol w:w="2211"/>
        <w:gridCol w:w="1583"/>
      </w:tblGrid>
      <w:tr w:rsidR="00F84FCD" w:rsidTr="003D5186">
        <w:trPr>
          <w:trHeight w:val="254"/>
        </w:trPr>
        <w:tc>
          <w:tcPr>
            <w:tcW w:w="2211" w:type="dxa"/>
            <w:vAlign w:val="center"/>
          </w:tcPr>
          <w:p w:rsidR="00F84FCD" w:rsidRDefault="00F84FCD" w:rsidP="00F84FCD">
            <w:pPr>
              <w:jc w:val="center"/>
            </w:pPr>
            <w:r>
              <w:t>masculin</w:t>
            </w:r>
          </w:p>
        </w:tc>
        <w:tc>
          <w:tcPr>
            <w:tcW w:w="1583" w:type="dxa"/>
            <w:vAlign w:val="center"/>
          </w:tcPr>
          <w:p w:rsidR="00F84FCD" w:rsidRDefault="00F84FCD" w:rsidP="00F84FCD">
            <w:pPr>
              <w:jc w:val="center"/>
            </w:pPr>
            <w:r>
              <w:t>féminin</w:t>
            </w:r>
          </w:p>
        </w:tc>
      </w:tr>
      <w:tr w:rsidR="00F84FCD" w:rsidTr="003D5186">
        <w:trPr>
          <w:trHeight w:val="711"/>
        </w:trPr>
        <w:tc>
          <w:tcPr>
            <w:tcW w:w="2211" w:type="dxa"/>
          </w:tcPr>
          <w:p w:rsidR="00F84FCD" w:rsidRDefault="00F84FCD">
            <w:r>
              <w:t xml:space="preserve">bon </w:t>
            </w:r>
          </w:p>
          <w:p w:rsidR="00F84FCD" w:rsidRDefault="00F84FCD">
            <w:r>
              <w:t xml:space="preserve">radieux </w:t>
            </w:r>
          </w:p>
          <w:p w:rsidR="00F84FCD" w:rsidRDefault="00F84FCD">
            <w:r>
              <w:t>blanc</w:t>
            </w:r>
          </w:p>
          <w:p w:rsidR="00F84FCD" w:rsidRDefault="00F84FCD">
            <w:r>
              <w:t>petit</w:t>
            </w:r>
          </w:p>
          <w:p w:rsidR="003D5186" w:rsidRDefault="003D5186">
            <w:r>
              <w:t>vieux</w:t>
            </w:r>
          </w:p>
          <w:p w:rsidR="003D5186" w:rsidRDefault="003D5186">
            <w:r>
              <w:t xml:space="preserve">vif </w:t>
            </w:r>
          </w:p>
        </w:tc>
        <w:tc>
          <w:tcPr>
            <w:tcW w:w="1583" w:type="dxa"/>
          </w:tcPr>
          <w:p w:rsidR="00F84FCD" w:rsidRDefault="00F84FCD">
            <w:r>
              <w:t>bonne</w:t>
            </w:r>
          </w:p>
          <w:p w:rsidR="00F84FCD" w:rsidRDefault="00F84FCD">
            <w:r>
              <w:t>radieuse</w:t>
            </w:r>
          </w:p>
          <w:p w:rsidR="00F84FCD" w:rsidRDefault="00F84FCD">
            <w:r>
              <w:t xml:space="preserve">blanche </w:t>
            </w:r>
          </w:p>
          <w:p w:rsidR="00F84FCD" w:rsidRDefault="00F84FCD">
            <w:r>
              <w:t>petite</w:t>
            </w:r>
          </w:p>
          <w:p w:rsidR="003D5186" w:rsidRDefault="003D5186">
            <w:r>
              <w:t>vieille</w:t>
            </w:r>
          </w:p>
          <w:p w:rsidR="003D5186" w:rsidRDefault="003D5186">
            <w:r>
              <w:t>vive</w:t>
            </w:r>
          </w:p>
        </w:tc>
      </w:tr>
    </w:tbl>
    <w:p w:rsidR="00F84FCD" w:rsidRDefault="00F84FCD"/>
    <w:p w:rsidR="00995D40" w:rsidRDefault="00995D40"/>
    <w:p w:rsidR="003D5186" w:rsidRDefault="003D5186">
      <w:r>
        <w:t>---------------------------------------------------------------------------------------------------------------------------------------------------------</w:t>
      </w:r>
    </w:p>
    <w:p w:rsidR="003D5186" w:rsidRDefault="003D5186" w:rsidP="003D5186">
      <w:pPr>
        <w:pStyle w:val="Sansinterligne"/>
        <w:jc w:val="center"/>
        <w:rPr>
          <w:sz w:val="28"/>
          <w:szCs w:val="28"/>
        </w:rPr>
      </w:pPr>
      <w:r w:rsidRPr="00F84FCD">
        <w:rPr>
          <w:sz w:val="28"/>
          <w:szCs w:val="28"/>
        </w:rPr>
        <w:t>Leçon orthographe</w:t>
      </w:r>
      <w:r>
        <w:rPr>
          <w:sz w:val="28"/>
          <w:szCs w:val="28"/>
        </w:rPr>
        <w:t xml:space="preserve"> CM1 : </w:t>
      </w:r>
      <w:r w:rsidRPr="00F84FCD">
        <w:rPr>
          <w:sz w:val="28"/>
          <w:szCs w:val="28"/>
        </w:rPr>
        <w:t>L’accord de l’adjectif dans le groupe nominal</w:t>
      </w:r>
      <w:r w:rsidR="00907CAF">
        <w:rPr>
          <w:sz w:val="28"/>
          <w:szCs w:val="28"/>
        </w:rPr>
        <w:t xml:space="preserve"> (1)</w:t>
      </w:r>
    </w:p>
    <w:p w:rsidR="003D5186" w:rsidRDefault="003D5186" w:rsidP="003D5186">
      <w:pPr>
        <w:pStyle w:val="Sansinterligne"/>
        <w:jc w:val="center"/>
        <w:rPr>
          <w:sz w:val="28"/>
          <w:szCs w:val="28"/>
        </w:rPr>
      </w:pPr>
    </w:p>
    <w:p w:rsidR="003D5186" w:rsidRDefault="003D5186" w:rsidP="00907CAF">
      <w:pPr>
        <w:pStyle w:val="Sansinterligne"/>
      </w:pPr>
      <w:r>
        <w:t xml:space="preserve">L’adjectif qualificatif apporte des précisions sur le nom. Ils font partie du même groupe que l’on appelle le groupe nominal. </w:t>
      </w:r>
    </w:p>
    <w:p w:rsidR="003D5186" w:rsidRDefault="003D5186" w:rsidP="00907CAF">
      <w:pPr>
        <w:pStyle w:val="Sansinterligne"/>
      </w:pPr>
      <w:r>
        <w:t xml:space="preserve">L’adjectif s’accorde avec le nom. Il dit qu’il s’accorde selon </w:t>
      </w:r>
      <w:r w:rsidRPr="00F84FCD">
        <w:rPr>
          <w:b/>
        </w:rPr>
        <w:t>le genre</w:t>
      </w:r>
      <w:r>
        <w:t xml:space="preserve"> (féminin ou masculin) ou </w:t>
      </w:r>
      <w:r w:rsidRPr="00F84FCD">
        <w:rPr>
          <w:b/>
        </w:rPr>
        <w:t>le nombre</w:t>
      </w:r>
      <w:r>
        <w:t xml:space="preserve"> (singulier ou pluriel). </w:t>
      </w:r>
    </w:p>
    <w:p w:rsidR="00907CAF" w:rsidRDefault="00907CAF" w:rsidP="00907CAF">
      <w:pPr>
        <w:pStyle w:val="Paragraphedeliste"/>
        <w:numPr>
          <w:ilvl w:val="0"/>
          <w:numId w:val="1"/>
        </w:numPr>
      </w:pPr>
      <w:r>
        <w:t xml:space="preserve">Au féminin : </w:t>
      </w:r>
    </w:p>
    <w:p w:rsidR="00F84FCD" w:rsidRDefault="00907CAF" w:rsidP="00907CAF">
      <w:pPr>
        <w:pStyle w:val="Sansinterligne"/>
      </w:pPr>
      <w:r>
        <w:t xml:space="preserve">- </w:t>
      </w:r>
      <w:r w:rsidR="003D5186">
        <w:t xml:space="preserve">Pour former le féminin d’un adjectif, on ajoute le plus souvent un </w:t>
      </w:r>
      <w:r w:rsidR="003D5186" w:rsidRPr="00907CAF">
        <w:rPr>
          <w:b/>
        </w:rPr>
        <w:t>–e</w:t>
      </w:r>
    </w:p>
    <w:p w:rsidR="003D5186" w:rsidRDefault="003D5186" w:rsidP="00907CAF">
      <w:pPr>
        <w:pStyle w:val="Sansinterligne"/>
      </w:pPr>
      <w:r>
        <w:t>Exemple : un grand garçon –&gt; une grand</w:t>
      </w:r>
      <w:r w:rsidRPr="003D5186">
        <w:rPr>
          <w:bdr w:val="single" w:sz="4" w:space="0" w:color="auto"/>
        </w:rPr>
        <w:t xml:space="preserve">e </w:t>
      </w:r>
      <w:r>
        <w:t xml:space="preserve">fille </w:t>
      </w:r>
    </w:p>
    <w:p w:rsidR="00907CAF" w:rsidRDefault="00907CAF" w:rsidP="00907CAF">
      <w:pPr>
        <w:pStyle w:val="Sansinterligne"/>
      </w:pPr>
    </w:p>
    <w:p w:rsidR="003D5186" w:rsidRDefault="00907CAF" w:rsidP="00907CAF">
      <w:pPr>
        <w:pStyle w:val="Sansinterligne"/>
      </w:pPr>
      <w:r>
        <w:t xml:space="preserve">- </w:t>
      </w:r>
      <w:r w:rsidR="003D5186">
        <w:t xml:space="preserve">Parfois la </w:t>
      </w:r>
      <w:r w:rsidR="003D5186" w:rsidRPr="00907CAF">
        <w:rPr>
          <w:b/>
        </w:rPr>
        <w:t>consonne finale est changée</w:t>
      </w:r>
      <w:r w:rsidR="003D5186">
        <w:t xml:space="preserve"> : </w:t>
      </w:r>
    </w:p>
    <w:p w:rsidR="00907CAF" w:rsidRDefault="00907CAF" w:rsidP="00907CAF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235"/>
        <w:gridCol w:w="4252"/>
      </w:tblGrid>
      <w:tr w:rsidR="003D5186" w:rsidTr="003D5186">
        <w:tc>
          <w:tcPr>
            <w:tcW w:w="2235" w:type="dxa"/>
          </w:tcPr>
          <w:p w:rsidR="003D5186" w:rsidRDefault="003D5186">
            <w:r>
              <w:t xml:space="preserve">elle est doublée </w:t>
            </w:r>
          </w:p>
        </w:tc>
        <w:tc>
          <w:tcPr>
            <w:tcW w:w="4252" w:type="dxa"/>
          </w:tcPr>
          <w:p w:rsidR="003D5186" w:rsidRDefault="003D5186" w:rsidP="003D5186">
            <w:r>
              <w:t>un gro</w:t>
            </w:r>
            <w:r w:rsidRPr="003D5186">
              <w:rPr>
                <w:bdr w:val="single" w:sz="4" w:space="0" w:color="auto"/>
              </w:rPr>
              <w:t>s</w:t>
            </w:r>
            <w:r>
              <w:t xml:space="preserve"> train -&gt; une gro</w:t>
            </w:r>
            <w:r w:rsidRPr="003D5186">
              <w:rPr>
                <w:bdr w:val="single" w:sz="4" w:space="0" w:color="auto"/>
              </w:rPr>
              <w:t>ss</w:t>
            </w:r>
            <w:r>
              <w:t xml:space="preserve">e voiture  </w:t>
            </w:r>
          </w:p>
        </w:tc>
      </w:tr>
      <w:tr w:rsidR="003D5186" w:rsidTr="003D5186">
        <w:tc>
          <w:tcPr>
            <w:tcW w:w="2235" w:type="dxa"/>
          </w:tcPr>
          <w:p w:rsidR="003D5186" w:rsidRDefault="003D5186">
            <w:r>
              <w:t xml:space="preserve">le </w:t>
            </w:r>
            <w:r w:rsidRPr="003D5186">
              <w:rPr>
                <w:b/>
              </w:rPr>
              <w:t>-f</w:t>
            </w:r>
            <w:r>
              <w:t xml:space="preserve"> devient </w:t>
            </w:r>
            <w:r w:rsidRPr="003D5186">
              <w:rPr>
                <w:b/>
              </w:rPr>
              <w:t>–</w:t>
            </w:r>
            <w:proofErr w:type="spellStart"/>
            <w:r w:rsidRPr="003D5186">
              <w:rPr>
                <w:b/>
              </w:rPr>
              <w:t>ve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:rsidR="003D5186" w:rsidRDefault="003D5186">
            <w:r>
              <w:t>un vent vi</w:t>
            </w:r>
            <w:r w:rsidRPr="003D5186">
              <w:rPr>
                <w:bdr w:val="single" w:sz="4" w:space="0" w:color="auto"/>
              </w:rPr>
              <w:t>f</w:t>
            </w:r>
            <w:r>
              <w:t xml:space="preserve"> -&gt; une fille vi</w:t>
            </w:r>
            <w:r w:rsidRPr="003D5186">
              <w:rPr>
                <w:bdr w:val="single" w:sz="4" w:space="0" w:color="auto"/>
              </w:rPr>
              <w:t xml:space="preserve">ve </w:t>
            </w:r>
          </w:p>
        </w:tc>
      </w:tr>
      <w:tr w:rsidR="003D5186" w:rsidTr="003D5186">
        <w:trPr>
          <w:trHeight w:val="822"/>
        </w:trPr>
        <w:tc>
          <w:tcPr>
            <w:tcW w:w="2235" w:type="dxa"/>
          </w:tcPr>
          <w:p w:rsidR="003D5186" w:rsidRDefault="003D5186">
            <w:r>
              <w:t xml:space="preserve">le </w:t>
            </w:r>
            <w:r w:rsidRPr="00907CAF">
              <w:rPr>
                <w:b/>
              </w:rPr>
              <w:t>–x</w:t>
            </w:r>
            <w:r>
              <w:t xml:space="preserve"> devient </w:t>
            </w:r>
            <w:r w:rsidRPr="00907CAF">
              <w:rPr>
                <w:b/>
              </w:rPr>
              <w:t>–se, ce,-</w:t>
            </w:r>
            <w:proofErr w:type="spellStart"/>
            <w:r w:rsidRPr="00907CAF">
              <w:rPr>
                <w:b/>
              </w:rPr>
              <w:t>sse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:rsidR="003D5186" w:rsidRDefault="003D5186">
            <w:r>
              <w:t>un mystérieu</w:t>
            </w:r>
            <w:r w:rsidRPr="003D5186">
              <w:rPr>
                <w:bdr w:val="single" w:sz="4" w:space="0" w:color="auto"/>
              </w:rPr>
              <w:t>x</w:t>
            </w:r>
            <w:r>
              <w:t xml:space="preserve"> livre -&gt; une mystérieu</w:t>
            </w:r>
            <w:r w:rsidRPr="003D5186">
              <w:rPr>
                <w:bdr w:val="single" w:sz="4" w:space="0" w:color="auto"/>
              </w:rPr>
              <w:t>se</w:t>
            </w:r>
            <w:r>
              <w:t xml:space="preserve"> maison</w:t>
            </w:r>
          </w:p>
          <w:p w:rsidR="003D5186" w:rsidRDefault="003D5186">
            <w:r>
              <w:t>un dou</w:t>
            </w:r>
            <w:r w:rsidRPr="003D5186">
              <w:rPr>
                <w:bdr w:val="single" w:sz="4" w:space="0" w:color="auto"/>
              </w:rPr>
              <w:t>x</w:t>
            </w:r>
            <w:r>
              <w:t xml:space="preserve"> parfum -&gt; une dou</w:t>
            </w:r>
            <w:r w:rsidRPr="003D5186">
              <w:rPr>
                <w:bdr w:val="single" w:sz="4" w:space="0" w:color="auto"/>
              </w:rPr>
              <w:t>ce</w:t>
            </w:r>
            <w:r>
              <w:t xml:space="preserve"> nuit </w:t>
            </w:r>
          </w:p>
        </w:tc>
      </w:tr>
      <w:tr w:rsidR="003D5186" w:rsidTr="003D5186">
        <w:tc>
          <w:tcPr>
            <w:tcW w:w="2235" w:type="dxa"/>
          </w:tcPr>
          <w:p w:rsidR="003D5186" w:rsidRDefault="003D5186">
            <w:r>
              <w:t xml:space="preserve">le </w:t>
            </w:r>
            <w:r w:rsidRPr="00907CAF">
              <w:rPr>
                <w:b/>
              </w:rPr>
              <w:t>–et</w:t>
            </w:r>
            <w:r>
              <w:t xml:space="preserve"> devient </w:t>
            </w:r>
            <w:r w:rsidRPr="00907CAF">
              <w:rPr>
                <w:b/>
              </w:rPr>
              <w:t>–</w:t>
            </w:r>
            <w:proofErr w:type="spellStart"/>
            <w:r w:rsidRPr="00907CAF">
              <w:rPr>
                <w:b/>
              </w:rPr>
              <w:t>ète</w:t>
            </w:r>
            <w:proofErr w:type="spellEnd"/>
            <w:r>
              <w:t xml:space="preserve"> ou </w:t>
            </w:r>
            <w:r w:rsidRPr="00907CAF">
              <w:rPr>
                <w:b/>
              </w:rPr>
              <w:t>–</w:t>
            </w:r>
            <w:proofErr w:type="spellStart"/>
            <w:r w:rsidRPr="00907CAF">
              <w:rPr>
                <w:b/>
              </w:rPr>
              <w:t>ette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:rsidR="003D5186" w:rsidRDefault="00907CAF" w:rsidP="00907CAF">
            <w:pPr>
              <w:rPr>
                <w:bdr w:val="single" w:sz="4" w:space="0" w:color="auto"/>
              </w:rPr>
            </w:pPr>
            <w:r>
              <w:t>un parfum discr</w:t>
            </w:r>
            <w:r w:rsidRPr="00907CAF">
              <w:rPr>
                <w:bdr w:val="single" w:sz="4" w:space="0" w:color="auto"/>
              </w:rPr>
              <w:t xml:space="preserve">et </w:t>
            </w:r>
            <w:r>
              <w:t>-&gt; une tenue discr</w:t>
            </w:r>
            <w:r w:rsidRPr="00907CAF">
              <w:rPr>
                <w:bdr w:val="single" w:sz="4" w:space="0" w:color="auto"/>
              </w:rPr>
              <w:t>ète</w:t>
            </w:r>
          </w:p>
          <w:p w:rsidR="00907CAF" w:rsidRDefault="00907CAF" w:rsidP="00907CAF"/>
        </w:tc>
      </w:tr>
      <w:tr w:rsidR="003D5186" w:rsidTr="003D5186">
        <w:tc>
          <w:tcPr>
            <w:tcW w:w="2235" w:type="dxa"/>
          </w:tcPr>
          <w:p w:rsidR="003D5186" w:rsidRDefault="00907CAF">
            <w:r>
              <w:t xml:space="preserve">le </w:t>
            </w:r>
            <w:r w:rsidRPr="00907CAF">
              <w:rPr>
                <w:b/>
              </w:rPr>
              <w:t>–er</w:t>
            </w:r>
            <w:r>
              <w:t xml:space="preserve"> devient </w:t>
            </w:r>
            <w:r w:rsidRPr="00907CAF">
              <w:rPr>
                <w:b/>
              </w:rPr>
              <w:t>–ère</w:t>
            </w:r>
            <w:r>
              <w:t xml:space="preserve"> </w:t>
            </w:r>
          </w:p>
        </w:tc>
        <w:tc>
          <w:tcPr>
            <w:tcW w:w="4252" w:type="dxa"/>
          </w:tcPr>
          <w:p w:rsidR="003D5186" w:rsidRDefault="00907CAF">
            <w:r>
              <w:t>un léger malaise -&gt; une lég</w:t>
            </w:r>
            <w:r w:rsidRPr="00907CAF">
              <w:rPr>
                <w:bdr w:val="single" w:sz="4" w:space="0" w:color="auto"/>
              </w:rPr>
              <w:t>ère</w:t>
            </w:r>
            <w:r>
              <w:t xml:space="preserve"> brise </w:t>
            </w:r>
          </w:p>
        </w:tc>
      </w:tr>
    </w:tbl>
    <w:p w:rsidR="00907CAF" w:rsidRDefault="00907CAF" w:rsidP="00907CAF">
      <w:pPr>
        <w:pStyle w:val="Paragraphedeliste"/>
      </w:pPr>
    </w:p>
    <w:p w:rsidR="00907CAF" w:rsidRDefault="00907CAF" w:rsidP="00907CAF">
      <w:pPr>
        <w:pStyle w:val="Sansinterligne"/>
      </w:pPr>
      <w:r>
        <w:t xml:space="preserve">- La terminaison peut-être aussi </w:t>
      </w:r>
      <w:r w:rsidRPr="00907CAF">
        <w:rPr>
          <w:b/>
        </w:rPr>
        <w:t>différente</w:t>
      </w:r>
      <w:r>
        <w:t xml:space="preserve"> : </w:t>
      </w:r>
    </w:p>
    <w:p w:rsidR="00907CAF" w:rsidRDefault="00907CAF" w:rsidP="00907CAF">
      <w:pPr>
        <w:pStyle w:val="Sansinterligne"/>
      </w:pPr>
      <w:r>
        <w:t>Ex : un nouv</w:t>
      </w:r>
      <w:r w:rsidRPr="00907CAF">
        <w:rPr>
          <w:bdr w:val="single" w:sz="4" w:space="0" w:color="auto"/>
        </w:rPr>
        <w:t>eau</w:t>
      </w:r>
      <w:r>
        <w:t xml:space="preserve"> meuble -&gt; une nouv</w:t>
      </w:r>
      <w:r w:rsidRPr="00907CAF">
        <w:rPr>
          <w:bdr w:val="single" w:sz="4" w:space="0" w:color="auto"/>
        </w:rPr>
        <w:t>elle</w:t>
      </w:r>
      <w:r>
        <w:t xml:space="preserve"> robe </w:t>
      </w:r>
    </w:p>
    <w:p w:rsidR="00907CAF" w:rsidRDefault="00907CAF" w:rsidP="00907CAF">
      <w:pPr>
        <w:pStyle w:val="Sansinterligne"/>
      </w:pPr>
    </w:p>
    <w:p w:rsidR="00907CAF" w:rsidRDefault="00907CAF" w:rsidP="00907CAF">
      <w:pPr>
        <w:pStyle w:val="Paragraphedeliste"/>
      </w:pPr>
    </w:p>
    <w:sectPr w:rsidR="00907CAF" w:rsidSect="00F84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90A"/>
    <w:multiLevelType w:val="hybridMultilevel"/>
    <w:tmpl w:val="44921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FCD"/>
    <w:rsid w:val="00061621"/>
    <w:rsid w:val="003D5186"/>
    <w:rsid w:val="008E2587"/>
    <w:rsid w:val="00907CAF"/>
    <w:rsid w:val="00995D40"/>
    <w:rsid w:val="00F8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FC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8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7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2020-04-06T11:35:00Z</dcterms:created>
  <dcterms:modified xsi:type="dcterms:W3CDTF">2020-04-06T12:04:00Z</dcterms:modified>
</cp:coreProperties>
</file>